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441" w:rsidRPr="00E76441" w:rsidRDefault="00E76441" w:rsidP="00E76441">
      <w:pPr>
        <w:spacing w:after="360"/>
        <w:jc w:val="center"/>
        <w:rPr>
          <w:b/>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bookmarkStart w:id="0" w:name="_GoBack"/>
      <w:bookmarkEnd w:id="0"/>
      <w:r w:rsidRPr="00E76441">
        <w:rPr>
          <w:b/>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COMMENT UTILISER LE GUIDE ALIMENTAIRE</w:t>
      </w:r>
    </w:p>
    <w:p w:rsidR="00E76441" w:rsidRPr="00E76441" w:rsidRDefault="00E76441" w:rsidP="00E76441">
      <w:r w:rsidRPr="00E76441">
        <w:t xml:space="preserve">Vous pouvez utiliser le </w:t>
      </w:r>
      <w:r w:rsidRPr="009B1795">
        <w:rPr>
          <w:i/>
        </w:rPr>
        <w:t>Guide alimentaire canadien</w:t>
      </w:r>
      <w:r w:rsidRPr="00E76441">
        <w:t xml:space="preserve"> pour faire des choix judicieux, que vous mangiez à la maison, à l'école, au travail ou au restaurant. Explorez les trucs et suggestions visant à vous aider à comprendre comment utiliser le Guide alimentaire canadien.</w:t>
      </w:r>
    </w:p>
    <w:p w:rsidR="00E76441" w:rsidRPr="00CF558D" w:rsidRDefault="00E76441" w:rsidP="00566975">
      <w:pPr>
        <w:rPr>
          <w:color w:val="E6632E" w:themeColor="accent2"/>
        </w:rPr>
      </w:pPr>
      <w:r w:rsidRPr="00CF558D">
        <w:rPr>
          <w:color w:val="E6632E" w:themeColor="accent2"/>
        </w:rPr>
        <w:t>Planification des repas.</w:t>
      </w:r>
    </w:p>
    <w:p w:rsidR="00E76441" w:rsidRPr="00CF558D" w:rsidRDefault="00E76441" w:rsidP="00566975">
      <w:pPr>
        <w:rPr>
          <w:color w:val="E6632E" w:themeColor="accent2"/>
        </w:rPr>
      </w:pPr>
      <w:r w:rsidRPr="00CF558D">
        <w:rPr>
          <w:color w:val="E6632E" w:themeColor="accent2"/>
        </w:rPr>
        <w:t>Trucs pour faire l’épicerie.</w:t>
      </w:r>
    </w:p>
    <w:p w:rsidR="00E76441" w:rsidRPr="00CF558D" w:rsidRDefault="00E76441" w:rsidP="00566975">
      <w:pPr>
        <w:rPr>
          <w:color w:val="E6632E" w:themeColor="accent2"/>
        </w:rPr>
      </w:pPr>
      <w:r w:rsidRPr="00CF558D">
        <w:rPr>
          <w:color w:val="E6632E" w:themeColor="accent2"/>
        </w:rPr>
        <w:t>Consultation des étiquettes des aliments.</w:t>
      </w:r>
    </w:p>
    <w:p w:rsidR="00E76441" w:rsidRPr="00CF558D" w:rsidRDefault="00E76441" w:rsidP="00566975">
      <w:pPr>
        <w:rPr>
          <w:color w:val="E6632E" w:themeColor="accent2"/>
        </w:rPr>
      </w:pPr>
      <w:r w:rsidRPr="00CF558D">
        <w:rPr>
          <w:color w:val="E6632E" w:themeColor="accent2"/>
        </w:rPr>
        <w:t>Idées de repas faciles et rapides à préparer.</w:t>
      </w:r>
    </w:p>
    <w:p w:rsidR="00E76441" w:rsidRPr="00CF558D" w:rsidRDefault="00E76441" w:rsidP="00566975">
      <w:pPr>
        <w:rPr>
          <w:color w:val="E6632E" w:themeColor="accent2"/>
        </w:rPr>
      </w:pPr>
      <w:r w:rsidRPr="00CF558D">
        <w:rPr>
          <w:color w:val="E6632E" w:themeColor="accent2"/>
        </w:rPr>
        <w:t>Des collations bien pensées.</w:t>
      </w:r>
    </w:p>
    <w:p w:rsidR="00E76441" w:rsidRPr="00CF558D" w:rsidRDefault="00E76441" w:rsidP="00566975">
      <w:pPr>
        <w:rPr>
          <w:color w:val="E6632E" w:themeColor="accent2"/>
        </w:rPr>
      </w:pPr>
      <w:r w:rsidRPr="00CF558D">
        <w:rPr>
          <w:color w:val="E6632E" w:themeColor="accent2"/>
        </w:rPr>
        <w:t>Manger à l’extérieur du foyer.</w:t>
      </w:r>
    </w:p>
    <w:p w:rsidR="00E76441" w:rsidRPr="00CF558D" w:rsidRDefault="00E76441" w:rsidP="00566975">
      <w:pPr>
        <w:rPr>
          <w:color w:val="E6632E" w:themeColor="accent2"/>
        </w:rPr>
      </w:pPr>
      <w:r w:rsidRPr="00CF558D">
        <w:rPr>
          <w:color w:val="E6632E" w:themeColor="accent2"/>
        </w:rPr>
        <w:t>Comment compter les portions du Guide alimentaire dans un repas.</w:t>
      </w:r>
    </w:p>
    <w:p w:rsidR="00E76441" w:rsidRPr="00875B3D" w:rsidRDefault="00E76441" w:rsidP="009B1795">
      <w:pPr>
        <w:pBdr>
          <w:top w:val="single" w:sz="48" w:space="1" w:color="75964C" w:themeColor="accent4"/>
          <w:bottom w:val="single" w:sz="48" w:space="1" w:color="75964C" w:themeColor="accent4"/>
        </w:pBdr>
        <w:shd w:val="clear" w:color="auto" w:fill="75964C" w:themeFill="accent4"/>
        <w:spacing w:before="360"/>
        <w:rPr>
          <w:rFonts w:asciiTheme="majorHAnsi" w:hAnsiTheme="majorHAnsi"/>
          <w:b/>
          <w:i/>
          <w:color w:val="FFFFFF" w:themeColor="background1"/>
          <w:sz w:val="28"/>
        </w:rPr>
      </w:pPr>
      <w:r w:rsidRPr="00875B3D">
        <w:rPr>
          <w:rFonts w:asciiTheme="majorHAnsi" w:hAnsiTheme="majorHAnsi"/>
          <w:b/>
          <w:i/>
          <w:color w:val="FFFFFF" w:themeColor="background1"/>
          <w:sz w:val="28"/>
        </w:rPr>
        <w:t>Planification des repas</w:t>
      </w:r>
    </w:p>
    <w:p w:rsidR="00E76441" w:rsidRPr="00E76441" w:rsidRDefault="00E76441" w:rsidP="00E76441">
      <w:r w:rsidRPr="00E76441">
        <w:t xml:space="preserve">Vous pouvez utiliser le Guide alimentaire canadien pour planifier vos </w:t>
      </w:r>
      <w:r w:rsidR="009B1795">
        <w:t>repas et ceux de votre famille.</w:t>
      </w:r>
    </w:p>
    <w:p w:rsidR="00E76441" w:rsidRPr="00875B3D" w:rsidRDefault="00E76441" w:rsidP="00E76441">
      <w:pPr>
        <w:rPr>
          <w:b/>
        </w:rPr>
      </w:pPr>
      <w:r w:rsidRPr="00875B3D">
        <w:rPr>
          <w:b/>
        </w:rPr>
        <w:t xml:space="preserve">Le fait de planifier vos repas vous permet : </w:t>
      </w:r>
    </w:p>
    <w:p w:rsidR="00E76441" w:rsidRPr="00E76441" w:rsidRDefault="00E76441" w:rsidP="00566975">
      <w:proofErr w:type="gramStart"/>
      <w:r w:rsidRPr="00E76441">
        <w:t>de</w:t>
      </w:r>
      <w:proofErr w:type="gramEnd"/>
      <w:r w:rsidRPr="00E76441">
        <w:t xml:space="preserve"> bien manger en choisissant des aliments différents tout au long de la journée et de la semaine.</w:t>
      </w:r>
    </w:p>
    <w:p w:rsidR="00E76441" w:rsidRPr="00E76441" w:rsidRDefault="00E76441" w:rsidP="00566975">
      <w:proofErr w:type="gramStart"/>
      <w:r w:rsidRPr="00E76441">
        <w:t>d'économiser</w:t>
      </w:r>
      <w:proofErr w:type="gramEnd"/>
      <w:r w:rsidRPr="00E76441">
        <w:t xml:space="preserve"> du temps. En planifiant vos repas et en faisant vos achats à l'avance, vous pouvez réduire vos déplacements à l'épicerie.</w:t>
      </w:r>
    </w:p>
    <w:p w:rsidR="00E76441" w:rsidRPr="00E76441" w:rsidRDefault="00E76441" w:rsidP="00566975">
      <w:proofErr w:type="gramStart"/>
      <w:r w:rsidRPr="00E76441">
        <w:t>de</w:t>
      </w:r>
      <w:proofErr w:type="gramEnd"/>
      <w:r w:rsidRPr="00E76441">
        <w:t xml:space="preserve"> servir plus rapidement vos repas avec un minimum de stress.</w:t>
      </w:r>
    </w:p>
    <w:p w:rsidR="00E76441" w:rsidRPr="00E76441" w:rsidRDefault="00E76441" w:rsidP="00935A15">
      <w:pPr>
        <w:spacing w:after="0" w:line="240" w:lineRule="auto"/>
      </w:pPr>
    </w:p>
    <w:p w:rsidR="00E76441" w:rsidRPr="00E76441" w:rsidRDefault="00E76441" w:rsidP="00E76441">
      <w:r w:rsidRPr="00875B3D">
        <w:rPr>
          <w:b/>
        </w:rPr>
        <w:t xml:space="preserve">La planification des repas n'exige pas nécessairement beaucoup de temps. </w:t>
      </w:r>
      <w:r w:rsidRPr="00E76441">
        <w:t>Effectuez cette tâche une ou deux fois par semaine lorsque vous préparez votre liste d'épicerie. Cela deviendra de plus en plus facile avec le temps. La planification de vos repas peut vous aider considéra</w:t>
      </w:r>
      <w:r w:rsidR="00256239">
        <w:softHyphen/>
      </w:r>
      <w:r w:rsidRPr="00E76441">
        <w:t>ble</w:t>
      </w:r>
      <w:r w:rsidR="00256239">
        <w:softHyphen/>
      </w:r>
      <w:r w:rsidRPr="00E76441">
        <w:t>ment à améliorer votre alimentation.</w:t>
      </w:r>
    </w:p>
    <w:p w:rsidR="00E76441" w:rsidRPr="00256239" w:rsidRDefault="00E76441" w:rsidP="00566975">
      <w:pPr>
        <w:pStyle w:val="Sous-titre"/>
        <w:keepNext/>
      </w:pPr>
      <w:r w:rsidRPr="00E76441">
        <w:t>Trucs de planification</w:t>
      </w:r>
    </w:p>
    <w:p w:rsidR="00E76441" w:rsidRPr="00E76441" w:rsidRDefault="00E76441" w:rsidP="00E76441">
      <w:r w:rsidRPr="00E76441">
        <w:t>Faites participer les enfants à la planification et à la préparation des repas. Ils apprécieront da</w:t>
      </w:r>
      <w:r w:rsidR="0096435F">
        <w:softHyphen/>
      </w:r>
      <w:r w:rsidRPr="00E76441">
        <w:t>van</w:t>
      </w:r>
      <w:r w:rsidR="0096435F">
        <w:softHyphen/>
      </w:r>
      <w:r w:rsidRPr="00E76441">
        <w:t>tage leur nourriture tout en développant des habiletés importantes pour le reste de leur vie. Ils pourraient même devenir de très bons aide-cuisiniers!</w:t>
      </w:r>
    </w:p>
    <w:p w:rsidR="00E76441" w:rsidRPr="00256239" w:rsidRDefault="00E76441" w:rsidP="00256239">
      <w:pPr>
        <w:keepNext/>
        <w:rPr>
          <w:b/>
        </w:rPr>
      </w:pPr>
      <w:r w:rsidRPr="00256239">
        <w:rPr>
          <w:b/>
        </w:rPr>
        <w:lastRenderedPageBreak/>
        <w:t>Mettez-vous à l'</w:t>
      </w:r>
      <w:r w:rsidR="009B1795" w:rsidRPr="00256239">
        <w:rPr>
          <w:b/>
        </w:rPr>
        <w:t>œuvre</w:t>
      </w:r>
      <w:r w:rsidRPr="00256239">
        <w:rPr>
          <w:b/>
        </w:rPr>
        <w:t xml:space="preserve"> :</w:t>
      </w:r>
    </w:p>
    <w:p w:rsidR="00E76441" w:rsidRPr="00E76441" w:rsidRDefault="00E76441" w:rsidP="00566975">
      <w:r w:rsidRPr="00566975">
        <w:rPr>
          <w:b/>
          <w:color w:val="75964C" w:themeColor="accent4"/>
        </w:rPr>
        <w:t xml:space="preserve">Plan de menu </w:t>
      </w:r>
      <w:r w:rsidRPr="00E76441">
        <w:t>- Notez vos idées de repas sur une feuille de papier, un calendrier ou dans un planificateur de menus.</w:t>
      </w:r>
    </w:p>
    <w:p w:rsidR="00E76441" w:rsidRPr="00E76441" w:rsidRDefault="00E76441" w:rsidP="00566975">
      <w:r w:rsidRPr="00566975">
        <w:rPr>
          <w:b/>
          <w:color w:val="75964C" w:themeColor="accent4"/>
        </w:rPr>
        <w:t xml:space="preserve">Liste d'épicerie </w:t>
      </w:r>
      <w:r w:rsidRPr="00E76441">
        <w:t>- Notez tous les aliments dont vous aurez besoin pendant les prochains jours ou la semaine</w:t>
      </w:r>
      <w:r w:rsidR="0096435F">
        <w:t>.</w:t>
      </w:r>
    </w:p>
    <w:p w:rsidR="00E76441" w:rsidRPr="00E76441" w:rsidRDefault="00E76441" w:rsidP="00566975">
      <w:r w:rsidRPr="00566975">
        <w:rPr>
          <w:b/>
          <w:color w:val="75964C" w:themeColor="accent4"/>
        </w:rPr>
        <w:t xml:space="preserve">Rendez-vous à l'épicerie </w:t>
      </w:r>
      <w:r w:rsidRPr="00E76441">
        <w:t xml:space="preserve">- Achetez les aliments que vous avez inscrits sur votre liste d'épicerie. </w:t>
      </w:r>
    </w:p>
    <w:p w:rsidR="00E76441" w:rsidRDefault="00E76441" w:rsidP="00566975">
      <w:r w:rsidRPr="00566975">
        <w:rPr>
          <w:b/>
          <w:color w:val="75964C" w:themeColor="accent4"/>
        </w:rPr>
        <w:t>Préparation des repas</w:t>
      </w:r>
      <w:r w:rsidRPr="00E76441">
        <w:t xml:space="preserve"> - Affichez votre menu sur le réfrigérateur de façon à ce que la première personne qui arrive à la maison puisse commencer à préparer le repas.</w:t>
      </w:r>
    </w:p>
    <w:p w:rsidR="00E76441" w:rsidRPr="00E76441" w:rsidRDefault="00E76441" w:rsidP="00256239">
      <w:pPr>
        <w:pStyle w:val="Sous-titre"/>
      </w:pPr>
      <w:r w:rsidRPr="00E76441">
        <w:t>Liste de vérification pour la planification des repas</w:t>
      </w:r>
    </w:p>
    <w:p w:rsidR="00E76441" w:rsidRPr="00E76441" w:rsidRDefault="00E76441" w:rsidP="00566975">
      <w:r w:rsidRPr="00E76441">
        <w:t>Mangez au moins un légume vert foncé et un légume orangé chaque jour.</w:t>
      </w:r>
    </w:p>
    <w:p w:rsidR="00E76441" w:rsidRPr="00E76441" w:rsidRDefault="00E76441" w:rsidP="00566975">
      <w:r w:rsidRPr="00E76441">
        <w:t>Choisissez des légumes et des fruits préparés avec peu ou pas de matières grasses, sucre ou sel.</w:t>
      </w:r>
    </w:p>
    <w:p w:rsidR="00E76441" w:rsidRPr="00E76441" w:rsidRDefault="00E76441" w:rsidP="00566975">
      <w:r w:rsidRPr="00E76441">
        <w:t>Consommez des légumes et des fruits de préférence aux jus.</w:t>
      </w:r>
    </w:p>
    <w:p w:rsidR="00E76441" w:rsidRPr="00E76441" w:rsidRDefault="00E76441" w:rsidP="00566975">
      <w:r w:rsidRPr="00E76441">
        <w:t>Consommez au moins la moitié de vos portions de produits céréaliers sous forme de grains entiers.</w:t>
      </w:r>
    </w:p>
    <w:p w:rsidR="00E76441" w:rsidRPr="00E76441" w:rsidRDefault="00E76441" w:rsidP="00566975">
      <w:r w:rsidRPr="00E76441">
        <w:t>Choisissez des produits céréaliers plus faibles en lipides, sucre et sel.</w:t>
      </w:r>
    </w:p>
    <w:p w:rsidR="00E76441" w:rsidRPr="00E76441" w:rsidRDefault="00E76441" w:rsidP="00566975">
      <w:r w:rsidRPr="00E76441">
        <w:t>Buvez chaque jour du lait écrémé ou du lait 1</w:t>
      </w:r>
      <w:r>
        <w:t> </w:t>
      </w:r>
      <w:r w:rsidRPr="00E76441">
        <w:t>% ou 2</w:t>
      </w:r>
      <w:r>
        <w:t> %</w:t>
      </w:r>
      <w:r w:rsidRPr="00E76441">
        <w:t xml:space="preserve"> M.G. Buvez des boissons de soya enrichies si vous ne buvez pas de lait.</w:t>
      </w:r>
    </w:p>
    <w:p w:rsidR="00E76441" w:rsidRPr="00E76441" w:rsidRDefault="00E76441" w:rsidP="00566975">
      <w:r w:rsidRPr="00E76441">
        <w:t>Choisissez des substituts du lait plus faibles en matières grasses.</w:t>
      </w:r>
    </w:p>
    <w:p w:rsidR="00E76441" w:rsidRPr="00E76441" w:rsidRDefault="00E76441" w:rsidP="00566975">
      <w:r w:rsidRPr="00E76441">
        <w:t>Consommez souvent des substituts de la viande comme des légumineuses ou du tofu.</w:t>
      </w:r>
    </w:p>
    <w:p w:rsidR="00E76441" w:rsidRPr="00E76441" w:rsidRDefault="00E76441" w:rsidP="00566975">
      <w:r w:rsidRPr="00E76441">
        <w:t>Consommez au moins deux portions de poisson chaque semaine.</w:t>
      </w:r>
    </w:p>
    <w:p w:rsidR="00E76441" w:rsidRPr="00E76441" w:rsidRDefault="00E76441" w:rsidP="00566975">
      <w:r w:rsidRPr="00E76441">
        <w:t>Choisissez des viandes maigres et des substituts préparés avec peu ou pas de matières grasses ou sel.</w:t>
      </w:r>
    </w:p>
    <w:p w:rsidR="00E76441" w:rsidRPr="00E76441" w:rsidRDefault="00E76441" w:rsidP="00566975">
      <w:r w:rsidRPr="00E76441">
        <w:t>Consommez une petite quantité de lipides insaturés chaque jour.</w:t>
      </w:r>
    </w:p>
    <w:p w:rsidR="00E76441" w:rsidRPr="00E76441" w:rsidRDefault="00E76441" w:rsidP="00566975">
      <w:r w:rsidRPr="00E76441">
        <w:t>Buvez de l'eau pour étancher votre soif.</w:t>
      </w:r>
    </w:p>
    <w:p w:rsidR="00271953" w:rsidRDefault="00E76441" w:rsidP="00566975">
      <w:r w:rsidRPr="00E76441">
        <w:t>Limitez votre consommation d'aliments et boissons riches en calories, lipides, sucre ou sel.</w:t>
      </w:r>
    </w:p>
    <w:p w:rsidR="00D97CB2" w:rsidRPr="00D97CB2" w:rsidRDefault="00D97CB2" w:rsidP="00D97CB2">
      <w:pPr>
        <w:jc w:val="right"/>
        <w:rPr>
          <w:i/>
          <w:sz w:val="18"/>
        </w:rPr>
      </w:pPr>
      <w:r w:rsidRPr="00D97CB2">
        <w:rPr>
          <w:i/>
          <w:sz w:val="18"/>
        </w:rPr>
        <w:t>Source</w:t>
      </w:r>
      <w:r w:rsidR="009836E7">
        <w:rPr>
          <w:i/>
          <w:sz w:val="18"/>
        </w:rPr>
        <w:t xml:space="preserve"> Santé Canada</w:t>
      </w:r>
      <w:r w:rsidRPr="00D97CB2">
        <w:rPr>
          <w:i/>
          <w:sz w:val="18"/>
        </w:rPr>
        <w:t> : www.hc-sc.gc.ca</w:t>
      </w:r>
    </w:p>
    <w:sectPr w:rsidR="00D97CB2" w:rsidRPr="00D97CB2" w:rsidSect="008F3137">
      <w:pgSz w:w="12240" w:h="15840"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w:pict>
  </w:numPicBullet>
  <w:numPicBullet w:numPicBulletId="1">
    <w:pict>
      <v:shape id="_x0000_i1032" type="#_x0000_t75" style="width:3in;height:3in" o:bullet="t"/>
    </w:pict>
  </w:numPicBullet>
  <w:numPicBullet w:numPicBulletId="2">
    <w:pict>
      <v:shape id="_x0000_i1033" type="#_x0000_t75" style="width:3in;height:3in" o:bullet="t"/>
    </w:pict>
  </w:numPicBullet>
  <w:numPicBullet w:numPicBulletId="3">
    <w:pict>
      <v:shape id="_x0000_i1034" type="#_x0000_t75" style="width:3in;height:3in" o:bullet="t"/>
    </w:pict>
  </w:numPicBullet>
  <w:numPicBullet w:numPicBulletId="4">
    <w:pict>
      <v:shape id="_x0000_i1035" type="#_x0000_t75" style="width:22.5pt;height:22.5pt" o:bullet="t">
        <v:imagedata r:id="rId1" o:title="Coche"/>
      </v:shape>
    </w:pict>
  </w:numPicBullet>
  <w:abstractNum w:abstractNumId="0">
    <w:nsid w:val="0D2D277F"/>
    <w:multiLevelType w:val="hybridMultilevel"/>
    <w:tmpl w:val="CEB23FF8"/>
    <w:lvl w:ilvl="0" w:tplc="0C0C0015">
      <w:start w:val="1"/>
      <w:numFmt w:val="upperLetter"/>
      <w:lvlText w:val="%1."/>
      <w:lvlJc w:val="left"/>
      <w:pPr>
        <w:ind w:left="720" w:hanging="360"/>
      </w:pPr>
      <w:rPr>
        <w:b/>
        <w:color w:val="9A692E" w:themeColor="accent5" w:themeShade="BF"/>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nsid w:val="27940A9B"/>
    <w:multiLevelType w:val="hybridMultilevel"/>
    <w:tmpl w:val="BBD8DC42"/>
    <w:lvl w:ilvl="0" w:tplc="70C6F60A">
      <w:start w:val="1"/>
      <w:numFmt w:val="bullet"/>
      <w:lvlText w:val=""/>
      <w:lvlJc w:val="left"/>
      <w:pPr>
        <w:ind w:left="720" w:hanging="360"/>
      </w:pPr>
      <w:rPr>
        <w:rFonts w:ascii="Symbol" w:hAnsi="Symbol" w:hint="default"/>
        <w:color w:val="auto"/>
        <w:sz w:val="28"/>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nsid w:val="3E5C2242"/>
    <w:multiLevelType w:val="hybridMultilevel"/>
    <w:tmpl w:val="F8B26ABC"/>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nsid w:val="4D6D1C43"/>
    <w:multiLevelType w:val="hybridMultilevel"/>
    <w:tmpl w:val="4ED6C73A"/>
    <w:lvl w:ilvl="0" w:tplc="7D86E922">
      <w:start w:val="1"/>
      <w:numFmt w:val="bullet"/>
      <w:lvlText w:val=""/>
      <w:lvlPicBulletId w:val="4"/>
      <w:lvlJc w:val="left"/>
      <w:pPr>
        <w:ind w:left="720" w:hanging="360"/>
      </w:pPr>
      <w:rPr>
        <w:rFonts w:ascii="Symbol" w:hAnsi="Symbol" w:hint="default"/>
        <w:color w:val="auto"/>
        <w:sz w:val="3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441"/>
    <w:rsid w:val="002339B4"/>
    <w:rsid w:val="00256239"/>
    <w:rsid w:val="00271953"/>
    <w:rsid w:val="00566975"/>
    <w:rsid w:val="00875B3D"/>
    <w:rsid w:val="008F3137"/>
    <w:rsid w:val="00935A15"/>
    <w:rsid w:val="0096435F"/>
    <w:rsid w:val="009836E7"/>
    <w:rsid w:val="009B1795"/>
    <w:rsid w:val="00A72598"/>
    <w:rsid w:val="00CF558D"/>
    <w:rsid w:val="00D97CB2"/>
    <w:rsid w:val="00E7644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0D506C-CF2F-42BC-B95F-2AFAE373A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239"/>
    <w:pPr>
      <w:jc w:val="both"/>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339B4"/>
    <w:pPr>
      <w:ind w:left="720"/>
      <w:contextualSpacing/>
    </w:pPr>
  </w:style>
  <w:style w:type="paragraph" w:styleId="Sous-titre">
    <w:name w:val="Subtitle"/>
    <w:basedOn w:val="Normal"/>
    <w:next w:val="Normal"/>
    <w:link w:val="Sous-titreCar"/>
    <w:uiPriority w:val="11"/>
    <w:qFormat/>
    <w:rsid w:val="00256239"/>
    <w:pPr>
      <w:numPr>
        <w:ilvl w:val="1"/>
      </w:numPr>
      <w:spacing w:before="360"/>
    </w:pPr>
    <w:rPr>
      <w:rFonts w:asciiTheme="majorHAnsi" w:eastAsiaTheme="majorEastAsia" w:hAnsiTheme="majorHAnsi" w:cstheme="majorBidi"/>
      <w:i/>
      <w:iCs/>
      <w:color w:val="E0B62E" w:themeColor="accent1"/>
      <w:spacing w:val="15"/>
      <w:sz w:val="24"/>
      <w:szCs w:val="24"/>
    </w:rPr>
  </w:style>
  <w:style w:type="character" w:customStyle="1" w:styleId="Sous-titreCar">
    <w:name w:val="Sous-titre Car"/>
    <w:basedOn w:val="Policepardfaut"/>
    <w:link w:val="Sous-titre"/>
    <w:uiPriority w:val="11"/>
    <w:rsid w:val="00256239"/>
    <w:rPr>
      <w:rFonts w:asciiTheme="majorHAnsi" w:eastAsiaTheme="majorEastAsia" w:hAnsiTheme="majorHAnsi" w:cstheme="majorBidi"/>
      <w:i/>
      <w:iCs/>
      <w:color w:val="E0B62E" w:themeColor="accent1"/>
      <w:spacing w:val="15"/>
      <w:sz w:val="24"/>
      <w:szCs w:val="24"/>
    </w:rPr>
  </w:style>
  <w:style w:type="paragraph" w:styleId="Textedebulles">
    <w:name w:val="Balloon Text"/>
    <w:basedOn w:val="Normal"/>
    <w:link w:val="TextedebullesCar"/>
    <w:uiPriority w:val="99"/>
    <w:semiHidden/>
    <w:unhideWhenUsed/>
    <w:rsid w:val="005669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669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Prefab">
  <a:themeElements>
    <a:clrScheme name="Prefab">
      <a:dk1>
        <a:sysClr val="windowText" lastClr="000000"/>
      </a:dk1>
      <a:lt1>
        <a:sysClr val="window" lastClr="FFFFFF"/>
      </a:lt1>
      <a:dk2>
        <a:srgbClr val="5D5C64"/>
      </a:dk2>
      <a:lt2>
        <a:srgbClr val="E4D9BE"/>
      </a:lt2>
      <a:accent1>
        <a:srgbClr val="E0B62E"/>
      </a:accent1>
      <a:accent2>
        <a:srgbClr val="E6632E"/>
      </a:accent2>
      <a:accent3>
        <a:srgbClr val="73C1C7"/>
      </a:accent3>
      <a:accent4>
        <a:srgbClr val="75964C"/>
      </a:accent4>
      <a:accent5>
        <a:srgbClr val="C78C45"/>
      </a:accent5>
      <a:accent6>
        <a:srgbClr val="BCA076"/>
      </a:accent6>
      <a:hlink>
        <a:srgbClr val="CF3B0D"/>
      </a:hlink>
      <a:folHlink>
        <a:srgbClr val="7E756C"/>
      </a:folHlink>
    </a:clrScheme>
    <a:fontScheme name="Prefab">
      <a:majorFont>
        <a:latin typeface="Arial Black"/>
        <a:ea typeface=""/>
        <a:cs typeface=""/>
        <a:font script="Jpan" typeface="ＭＳ Ｐゴシック"/>
        <a:font script="Hang" typeface="HY견고딕"/>
        <a:font script="Hans" typeface="宋体"/>
        <a:font script="Hant" typeface="新細明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refab">
      <a:fillStyleLst>
        <a:solidFill>
          <a:schemeClr val="phClr"/>
        </a:solidFill>
        <a:gradFill rotWithShape="1">
          <a:gsLst>
            <a:gs pos="0">
              <a:schemeClr val="phClr">
                <a:tint val="30000"/>
                <a:satMod val="200000"/>
              </a:schemeClr>
            </a:gs>
            <a:gs pos="30000">
              <a:schemeClr val="phClr">
                <a:tint val="60000"/>
                <a:satMod val="250000"/>
              </a:schemeClr>
            </a:gs>
            <a:gs pos="50000">
              <a:schemeClr val="phClr">
                <a:tint val="57000"/>
                <a:satMod val="250000"/>
              </a:schemeClr>
            </a:gs>
            <a:gs pos="100000">
              <a:schemeClr val="phClr">
                <a:tint val="17000"/>
                <a:satMod val="350000"/>
              </a:schemeClr>
            </a:gs>
          </a:gsLst>
          <a:lin ang="4000000" scaled="1"/>
        </a:gradFill>
        <a:gradFill rotWithShape="1">
          <a:gsLst>
            <a:gs pos="0">
              <a:schemeClr val="phClr">
                <a:tint val="75000"/>
                <a:satMod val="110000"/>
              </a:schemeClr>
            </a:gs>
            <a:gs pos="30000">
              <a:schemeClr val="phClr">
                <a:shade val="75000"/>
                <a:satMod val="130000"/>
              </a:schemeClr>
            </a:gs>
            <a:gs pos="50000">
              <a:schemeClr val="phClr">
                <a:shade val="70000"/>
                <a:satMod val="135000"/>
              </a:schemeClr>
            </a:gs>
            <a:gs pos="100000">
              <a:schemeClr val="phClr">
                <a:tint val="75000"/>
                <a:satMod val="110000"/>
              </a:schemeClr>
            </a:gs>
          </a:gsLst>
          <a:lin ang="4000000" scaled="1"/>
        </a:gradFill>
      </a:fillStyleLst>
      <a:lnStyleLst>
        <a:ln w="9525" cap="flat" cmpd="sng" algn="ctr">
          <a:solidFill>
            <a:schemeClr val="phClr">
              <a:shade val="95000"/>
              <a:satMod val="105000"/>
            </a:scheme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90000" algn="ctr" rotWithShape="0">
              <a:srgbClr val="000000">
                <a:alpha val="60000"/>
              </a:srgbClr>
            </a:outerShdw>
          </a:effectLst>
        </a:effectStyle>
        <a:effectStyle>
          <a:effectLst>
            <a:outerShdw blurRad="110000" algn="ctr" rotWithShape="0">
              <a:srgbClr val="000000">
                <a:alpha val="65000"/>
              </a:srgbClr>
            </a:outerShdw>
          </a:effectLst>
        </a:effectStyle>
        <a:effectStyle>
          <a:effectLst>
            <a:outerShdw blurRad="120000" algn="ctr" rotWithShape="0">
              <a:srgbClr val="000000">
                <a:alpha val="70000"/>
              </a:srgbClr>
            </a:outerShdw>
          </a:effectLst>
          <a:scene3d>
            <a:camera prst="orthographicFront"/>
            <a:lightRig rig="glow" dir="t">
              <a:rot lat="0" lon="0" rev="1800000"/>
            </a:lightRig>
          </a:scene3d>
          <a:sp3d contourW="12700" prstMaterial="dkEdge">
            <a:bevelT w="50800" h="44450" prst="angle"/>
            <a:contourClr>
              <a:schemeClr val="phClr">
                <a:shade val="40000"/>
              </a:schemeClr>
            </a:contourClr>
          </a:sp3d>
        </a:effectStyle>
      </a:effectStyleLst>
      <a:bgFillStyleLst>
        <a:solidFill>
          <a:schemeClr val="phClr"/>
        </a:solidFill>
        <a:gradFill rotWithShape="1">
          <a:gsLst>
            <a:gs pos="0">
              <a:schemeClr val="phClr">
                <a:tint val="75000"/>
                <a:satMod val="110000"/>
              </a:schemeClr>
            </a:gs>
            <a:gs pos="30000">
              <a:schemeClr val="phClr">
                <a:shade val="75000"/>
                <a:satMod val="130000"/>
              </a:schemeClr>
            </a:gs>
            <a:gs pos="50000">
              <a:schemeClr val="phClr">
                <a:shade val="70000"/>
                <a:satMod val="135000"/>
              </a:schemeClr>
            </a:gs>
            <a:gs pos="100000">
              <a:schemeClr val="phClr">
                <a:tint val="75000"/>
                <a:satMod val="110000"/>
              </a:schemeClr>
            </a:gs>
          </a:gsLst>
          <a:lin ang="4000000" scaled="1"/>
        </a:gradFill>
        <a:blipFill>
          <a:blip xmlns:r="http://schemas.openxmlformats.org/officeDocument/2006/relationships" r:embed="rId1">
            <a:duotone>
              <a:schemeClr val="phClr">
                <a:shade val="75000"/>
                <a:satMod val="120000"/>
              </a:schemeClr>
              <a:schemeClr val="phClr">
                <a:tint val="94000"/>
                <a:satMod val="21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41264-4C69-40E8-803E-A7A7B725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2778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cp:lastPrinted>2011-02-24T18:54:00Z</cp:lastPrinted>
  <dcterms:created xsi:type="dcterms:W3CDTF">2014-03-12T18:41:00Z</dcterms:created>
  <dcterms:modified xsi:type="dcterms:W3CDTF">2014-03-12T18:41:00Z</dcterms:modified>
</cp:coreProperties>
</file>